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6D" w:rsidRPr="00E21B6D" w:rsidRDefault="00E21B6D" w:rsidP="00947905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50"/>
          <w:szCs w:val="50"/>
        </w:rPr>
      </w:pPr>
      <w:r w:rsidRPr="00E21B6D">
        <w:rPr>
          <w:rFonts w:ascii="Trebuchet MS" w:hAnsi="Trebuchet MS"/>
          <w:caps/>
          <w:sz w:val="50"/>
          <w:szCs w:val="50"/>
        </w:rPr>
        <w:t>DAS LASST IHR IN DEN ÄHREN</w:t>
      </w:r>
    </w:p>
    <w:p w:rsidR="00E21B6D" w:rsidRPr="00E21B6D" w:rsidRDefault="00E21B6D" w:rsidP="00947905">
      <w:pPr>
        <w:shd w:val="clear" w:color="auto" w:fill="FFFFFF"/>
        <w:bidi w:val="0"/>
        <w:spacing w:before="120" w:after="48" w:line="240" w:lineRule="auto"/>
        <w:ind w:firstLine="851"/>
        <w:jc w:val="center"/>
        <w:outlineLvl w:val="1"/>
        <w:rPr>
          <w:rFonts w:ascii="Trebuchet MS" w:eastAsia="Times New Roman" w:hAnsi="Trebuchet MS" w:cs="Times New Roman"/>
          <w:b/>
          <w:bCs/>
          <w:caps/>
          <w:sz w:val="28"/>
          <w:szCs w:val="28"/>
        </w:rPr>
      </w:pPr>
      <w:bookmarkStart w:id="0" w:name="_GoBack"/>
      <w:r w:rsidRPr="00E21B6D">
        <w:rPr>
          <w:noProof/>
        </w:rPr>
        <w:drawing>
          <wp:inline distT="0" distB="0" distL="0" distR="0" wp14:anchorId="59C0B2BB" wp14:editId="50958E91">
            <wp:extent cx="1903227" cy="2764664"/>
            <wp:effectExtent l="0" t="0" r="1905" b="0"/>
            <wp:docPr id="2" name="Picture 2" descr="http://www.eajaz.org/eajaz/images/stories/27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ajaz.org/eajaz/images/stories/27-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233" cy="276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1B6D" w:rsidRPr="00E21B6D" w:rsidRDefault="00E21B6D" w:rsidP="00947905">
      <w:pPr>
        <w:shd w:val="clear" w:color="auto" w:fill="FFFFFF"/>
        <w:bidi w:val="0"/>
        <w:spacing w:before="120" w:after="48" w:line="240" w:lineRule="auto"/>
        <w:ind w:firstLine="851"/>
        <w:jc w:val="both"/>
        <w:outlineLvl w:val="1"/>
        <w:rPr>
          <w:rFonts w:ascii="Trebuchet MS" w:eastAsia="Times New Roman" w:hAnsi="Trebuchet MS" w:cs="Times New Roman"/>
          <w:b/>
          <w:bCs/>
          <w:caps/>
          <w:sz w:val="28"/>
          <w:szCs w:val="28"/>
        </w:rPr>
      </w:pPr>
    </w:p>
    <w:p w:rsidR="00B97065" w:rsidRPr="00E21B6D" w:rsidRDefault="00E21B6D" w:rsidP="00947905">
      <w:pPr>
        <w:bidi w:val="0"/>
        <w:spacing w:before="120"/>
        <w:ind w:firstLine="851"/>
        <w:rPr>
          <w:lang w:bidi="ar-EG"/>
        </w:rPr>
      </w:pPr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Allah, der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Erhabene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der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Mächtige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sagte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: </w:t>
      </w:r>
      <w:proofErr w:type="gram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“ Joseph</w:t>
      </w:r>
      <w:proofErr w:type="gram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du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Wahrhaftiger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!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Gib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uns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Auskunft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über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sieben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fette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Kühe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die von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sieben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mageren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gefressen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werden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und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sieben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grüne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Ähren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und (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sieben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andere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die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verdorrt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sind</w:t>
      </w:r>
      <w:proofErr w:type="spellEnd"/>
      <w:proofErr w:type="gram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!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Vielleicht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werde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ich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zu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den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Leuten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(die </w:t>
      </w:r>
      <w:proofErr w:type="spellStart"/>
      <w:proofErr w:type="gram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mich</w:t>
      </w:r>
      <w:proofErr w:type="spellEnd"/>
      <w:proofErr w:type="gram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geschickt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haben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zurückkommen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(so)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vielleicht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Bescheid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wissen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(Joseph)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sagte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>: „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Ihr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sollt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sieben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Jahre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wie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gewöhnlich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säen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. Was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ihr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dann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erntet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das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lasst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in den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Ähren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ohne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zu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dreschen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),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außer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einer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geringen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Menge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die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ihr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während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dieser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Zeit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verzehrt</w:t>
      </w:r>
      <w:proofErr w:type="spellEnd"/>
      <w:proofErr w:type="gram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..</w:t>
      </w:r>
      <w:proofErr w:type="gram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Hierauf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wenn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diese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Zeit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um </w:t>
      </w:r>
      <w:proofErr w:type="spellStart"/>
      <w:proofErr w:type="gram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proofErr w:type="gram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werden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sieben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schwere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Jahre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kommen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die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aufzuzehren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werden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was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ihr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für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zurückgelegt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habt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außer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einer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geringen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Menge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die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ihr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(an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einem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unzugänglichen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Ort)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aufbewahrt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Hierauf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wenn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diese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Zeit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um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wird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ein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Jahr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kommen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in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die Menschen (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wieder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Regen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haben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und in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wieder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keltern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werden</w:t>
      </w:r>
      <w:proofErr w:type="spellEnd"/>
      <w:proofErr w:type="gram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.“</w:t>
      </w:r>
      <w:proofErr w:type="gram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 Allah, der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Erhabene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der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Mächtige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sagte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: </w:t>
      </w:r>
      <w:proofErr w:type="gram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“ Joseph</w:t>
      </w:r>
      <w:proofErr w:type="gram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du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Wahrhaftiger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!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Gib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uns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Auskunft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über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sieben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fette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Kühe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die von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sieben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mageren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gefressen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werden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und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sieben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grüne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Ähren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und (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sieben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andere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die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verdorrt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sind</w:t>
      </w:r>
      <w:proofErr w:type="spellEnd"/>
      <w:proofErr w:type="gram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!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Vielleicht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werde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ich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zu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den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Leuten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(die </w:t>
      </w:r>
      <w:proofErr w:type="spellStart"/>
      <w:proofErr w:type="gram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mich</w:t>
      </w:r>
      <w:proofErr w:type="spellEnd"/>
      <w:proofErr w:type="gram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geschickt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haben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zurückkommen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(so)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vielleicht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Bescheid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wissen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(Joseph)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sagte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>: „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Ihr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sollt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sieben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Jahre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wie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gewöhnlich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säen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. Was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ihr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dann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erntet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das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lasst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in den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Ähren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ohne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zu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dreschen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),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außer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einer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geringen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Menge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die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ihr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während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dieser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Zeit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verzehrt</w:t>
      </w:r>
      <w:proofErr w:type="spellEnd"/>
      <w:proofErr w:type="gram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..</w:t>
      </w:r>
      <w:proofErr w:type="gram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Hierauf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wenn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diese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Zeit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um </w:t>
      </w:r>
      <w:proofErr w:type="spellStart"/>
      <w:proofErr w:type="gram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proofErr w:type="gram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werden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sieben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schwere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Jahre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kommen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die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aufzuzehren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werden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was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ihr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für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zurückgelegt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habt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außer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einer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geringen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Menge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die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ihr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(an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einem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unzugänglichen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Ort)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aufbewahrt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Hierauf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wenn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diese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Zeit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um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wird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ein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Jahr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kommen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in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die Menschen (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wieder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Regen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haben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und in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wieder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keltern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werden</w:t>
      </w:r>
      <w:proofErr w:type="spellEnd"/>
      <w:proofErr w:type="gram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.“</w:t>
      </w:r>
      <w:proofErr w:type="gramEnd"/>
      <w:r w:rsidRPr="00E21B6D">
        <w:rPr>
          <w:rFonts w:ascii="Tahoma" w:hAnsi="Tahoma" w:cs="Tahoma"/>
          <w:sz w:val="20"/>
          <w:szCs w:val="20"/>
        </w:rPr>
        <w:br/>
      </w:r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Die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wissenschaftliche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Tatsache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>:</w:t>
      </w:r>
      <w:r w:rsidRPr="00E21B6D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E21B6D">
        <w:rPr>
          <w:rFonts w:ascii="Tahoma" w:hAnsi="Tahoma" w:cs="Tahoma"/>
          <w:sz w:val="20"/>
          <w:szCs w:val="20"/>
        </w:rPr>
        <w:br/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Aufbewahrung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Samenkörner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in den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Ähren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gilt </w:t>
      </w:r>
      <w:proofErr w:type="spellStart"/>
      <w:proofErr w:type="gram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proofErr w:type="gram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grundsätzliche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Sicherheitsmassnahme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zum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Schutz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Landwirtschaftspurdiktion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unter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schweren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umweltbedingten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Verhältnisse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tritt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in der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Technik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Ackerbaus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der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Aufbewahrung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und des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Schutzes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Landwirtschaftspurdiktion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ein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Man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nennt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vielmehr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Wirtschaftsführung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Purdiktion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>. .  </w:t>
      </w:r>
      <w:r w:rsidRPr="00E21B6D">
        <w:rPr>
          <w:rFonts w:ascii="Tahoma" w:hAnsi="Tahoma" w:cs="Tahoma"/>
          <w:sz w:val="20"/>
          <w:szCs w:val="20"/>
        </w:rPr>
        <w:br/>
      </w:r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Dr. Abel-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Magid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Belabd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und seine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Kollegen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der Al-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Ribat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Universität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Marokko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führten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eine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empirische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Untersuchung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über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Weizensamenkörner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aus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 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welche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für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zwei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Jahre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lang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lastRenderedPageBreak/>
        <w:t>ihren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Ähren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gelassen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werden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Vergleich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zu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denen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die von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Ähren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frei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gelassen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werden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. Die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Grunduntersuchungsergebnisse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verdeutlichten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Ähren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Ausmaß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100%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gesund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unverändert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blieben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obwohl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grundsätzlichen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Voraussetzungen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wie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Temperatur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Feuchtigkeit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usw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proofErr w:type="gram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Aufbewahrungsort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fehlt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Außerdem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verloren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die in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Ähren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gelassenen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Samenkörner</w:t>
      </w:r>
      <w:proofErr w:type="spellEnd"/>
      <w:proofErr w:type="gram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eine</w:t>
      </w:r>
      <w:proofErr w:type="spellEnd"/>
      <w:proofErr w:type="gram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Wassermenge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waren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Laufe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Zeit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trocken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geworden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Vergleich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zu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den von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Ähren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abgetrennten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Samenkörner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. Das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bedeutet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  20,3 % von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Gewicht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der von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Ähren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abgetrennten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Keimkörner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aus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Wasser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bestehet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welches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einen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negativen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Einfluss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auf die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Fähigkeit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Körner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  in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bezug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auf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deren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Pflanzung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deren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Wachstum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auch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noch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auf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deren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Nahrungswert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hat,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wobei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Vorhandensein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Wassers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ihre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Verdorbenheit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erleichtert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>.                  </w:t>
      </w:r>
      <w:r w:rsidRPr="00E21B6D">
        <w:rPr>
          <w:rFonts w:ascii="Tahoma" w:hAnsi="Tahoma" w:cs="Tahoma"/>
          <w:sz w:val="20"/>
          <w:szCs w:val="20"/>
        </w:rPr>
        <w:br/>
      </w:r>
      <w:r w:rsidRPr="00E21B6D">
        <w:rPr>
          <w:rFonts w:ascii="Tahoma" w:hAnsi="Tahoma" w:cs="Tahoma"/>
          <w:sz w:val="20"/>
          <w:szCs w:val="20"/>
        </w:rPr>
        <w:br/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Dann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führten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Forscher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einen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Vergleich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Wachstumseigentümlichkeit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Länge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Wurzeln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Stämme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), 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zwischen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den  in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Ähren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noch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gelassenen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Samenkörner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und  den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seit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zwei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Jahre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von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Ähren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abgetrennten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Samenkörner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aus.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Daraus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wird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ersichtlich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die in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Ähren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behaltenen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Samenkörner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bei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ihrem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Wachstum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20 %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hinsichtlich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Wurzellänge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und 32 %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hinsichtlich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Stammlänge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besser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sind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Dann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schätzten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Forscher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Zucker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- und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Proteinmenge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ein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die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ohne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Veränderung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oder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Verminderung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noch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vorhanden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folgendermaßen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: In den von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Ähren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abgetrennten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Samenkörner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nimmt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Proteinmenge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Ausmaß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32 %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nach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Verlauf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zwei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Jahre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und in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Ausmaß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20%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nach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Verlauf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eines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Jahres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ab.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Dagegen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blieben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Zucker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- und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Proteinmenge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in den in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Ähren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gelassenen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Samenkörnern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ohne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nennenswerte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Veränderung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E21B6D">
        <w:rPr>
          <w:rFonts w:ascii="Tahoma" w:hAnsi="Tahoma" w:cs="Tahoma"/>
          <w:sz w:val="20"/>
          <w:szCs w:val="20"/>
        </w:rPr>
        <w:br/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Wunderaspekt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in der Verse:       </w:t>
      </w:r>
      <w:r w:rsidRPr="00E21B6D">
        <w:rPr>
          <w:rFonts w:ascii="Tahoma" w:hAnsi="Tahoma" w:cs="Tahoma"/>
          <w:sz w:val="20"/>
          <w:szCs w:val="20"/>
        </w:rPr>
        <w:br/>
      </w:r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In der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Allahs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Aussage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„das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lasst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in den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Ähren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ohne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zu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dreschen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)"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gibt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einen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Hinweis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darauf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Aufbewahrung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Samenkörner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durch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deren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Erhaltung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Ähren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beste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technische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Methode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zum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Schutz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Samenkörner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betrachtet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wird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ohne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  die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Zeit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verderben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lässt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>.   </w:t>
      </w:r>
      <w:r w:rsidRPr="00E21B6D">
        <w:rPr>
          <w:rFonts w:ascii="Tahoma" w:hAnsi="Tahoma" w:cs="Tahoma"/>
          <w:sz w:val="20"/>
          <w:szCs w:val="20"/>
        </w:rPr>
        <w:br/>
      </w:r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In der Verse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gibt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zwei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wissenschaftlichen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Bemerkungen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>:</w:t>
      </w:r>
      <w:r w:rsidRPr="00E21B6D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E21B6D">
        <w:rPr>
          <w:rFonts w:ascii="Tahoma" w:hAnsi="Tahoma" w:cs="Tahoma"/>
          <w:sz w:val="20"/>
          <w:szCs w:val="20"/>
        </w:rPr>
        <w:br/>
      </w:r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1.     Die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Bestimmung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Zeitgültigkeit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Samenkörneraufbewahrung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;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Licht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der Verse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die 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Folge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Pflanzung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für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sieben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Jahre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in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denen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die Menschen  hart und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eifrig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arbeiteten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sind</w:t>
      </w:r>
      <w:proofErr w:type="spellEnd"/>
      <w:proofErr w:type="gram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Jahre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Fruchtbarkeit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und der Gabe.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Danach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kommen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unmittelbar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sieben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schweren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>,</w:t>
      </w:r>
      <w:proofErr w:type="gram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  und</w:t>
      </w:r>
      <w:proofErr w:type="gram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sind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Jahre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Trockenheit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Dann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folgt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ihnen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ein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Jahr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durch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dieses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Jahr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proofErr w:type="gram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  die</w:t>
      </w:r>
      <w:proofErr w:type="gram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Zahl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fünfzehn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erreicht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), in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die Menschen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wieder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Regen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haben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und in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auch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wieder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keltern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werden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können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. Die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wissenschaftliche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Untersuchung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heutzutage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stellt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schon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fest,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höchste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Zeit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Samenkörneraufbewahrung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in der die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Samenkörner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deren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Entwicklungs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- und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Wachstumsfähigkeit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noch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beibehalten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können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fünfzehn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Jahre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erreicht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E21B6D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E21B6D">
        <w:rPr>
          <w:rFonts w:ascii="Tahoma" w:hAnsi="Tahoma" w:cs="Tahoma"/>
          <w:sz w:val="20"/>
          <w:szCs w:val="20"/>
        </w:rPr>
        <w:br/>
      </w:r>
      <w:r w:rsidRPr="00E21B6D">
        <w:rPr>
          <w:rFonts w:ascii="Tahoma" w:hAnsi="Tahoma" w:cs="Tahoma"/>
          <w:sz w:val="20"/>
          <w:szCs w:val="20"/>
        </w:rPr>
        <w:br/>
      </w:r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2.    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Aufbewahrungsmethode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in der Verse (das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lasst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in den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Ähren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proofErr w:type="gram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proofErr w:type="gram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wissenschaftliche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Methode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die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schon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erfolgreich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empirisch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untersucht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wird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>.    </w:t>
      </w:r>
      <w:r w:rsidRPr="00E21B6D">
        <w:rPr>
          <w:rFonts w:ascii="Tahoma" w:hAnsi="Tahoma" w:cs="Tahoma"/>
          <w:sz w:val="20"/>
          <w:szCs w:val="20"/>
        </w:rPr>
        <w:br/>
      </w:r>
      <w:r w:rsidRPr="00E21B6D">
        <w:rPr>
          <w:rFonts w:ascii="Tahoma" w:hAnsi="Tahoma" w:cs="Tahoma"/>
          <w:sz w:val="20"/>
          <w:szCs w:val="20"/>
        </w:rPr>
        <w:br/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Damit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wird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ersichtlich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beste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Methode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zum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Schutz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zur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Aufbewahrung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Samenkörner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proofErr w:type="gram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diejenige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darauf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von Joseph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schon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hingewiesen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wurde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. 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proofErr w:type="gram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außerdem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von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Gott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herabgesandt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worden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Bekanntlich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war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diese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Methode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sowohl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bei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den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Urvätern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proofErr w:type="gram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auch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bei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den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Altägyptern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nicht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angewandt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wobei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ihre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Samenkörner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wie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gewöhnlich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von den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Ähren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frei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behielten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. Das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hält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man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zurecht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auf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keine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Weise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für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einen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wissenschaftlichen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Wunder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zur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Aufbewahrung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Erhaltung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Samenkörner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Ähren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an, um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vor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Verderben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oder</w:t>
      </w:r>
      <w:proofErr w:type="spellEnd"/>
      <w:proofErr w:type="gram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Verändern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zu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bewahren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Nennung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dieser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wissenschaftlichen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Tatsache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bestätigt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Erhabenheit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Genauigkeit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des Koran und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er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schon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von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Gott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herabgekommen</w:t>
      </w:r>
      <w:proofErr w:type="spellEnd"/>
      <w:r w:rsidRPr="00E21B6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21B6D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proofErr w:type="gramEnd"/>
      <w:r w:rsidRPr="00E21B6D">
        <w:rPr>
          <w:rFonts w:ascii="Tahoma" w:hAnsi="Tahoma" w:cs="Tahoma"/>
          <w:sz w:val="20"/>
          <w:szCs w:val="20"/>
          <w:shd w:val="clear" w:color="auto" w:fill="FFFFFF"/>
        </w:rPr>
        <w:t>.   </w:t>
      </w:r>
    </w:p>
    <w:sectPr w:rsidR="00B97065" w:rsidRPr="00E21B6D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B4"/>
    <w:rsid w:val="00773AB4"/>
    <w:rsid w:val="00947905"/>
    <w:rsid w:val="009E0E2E"/>
    <w:rsid w:val="00A6264B"/>
    <w:rsid w:val="00B03260"/>
    <w:rsid w:val="00E21B6D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2015-01-09T18:07:00Z</cp:lastPrinted>
  <dcterms:created xsi:type="dcterms:W3CDTF">2015-01-09T18:09:00Z</dcterms:created>
  <dcterms:modified xsi:type="dcterms:W3CDTF">2015-01-09T18:09:00Z</dcterms:modified>
</cp:coreProperties>
</file>